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AE" w:rsidRPr="005E7C14" w:rsidRDefault="006425AE" w:rsidP="006425AE">
      <w:pPr>
        <w:bidi/>
        <w:spacing w:line="360" w:lineRule="auto"/>
        <w:jc w:val="both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 w:rsidRPr="005E7C14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>اهداف شورا:</w:t>
      </w:r>
    </w:p>
    <w:p w:rsidR="006425AE" w:rsidRPr="00824469" w:rsidRDefault="006425AE" w:rsidP="006425A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تقویت فضای مشارکت، همکاری و ایجاد همدلی در میان دانشجویان و مسئولین دانشگاهی</w:t>
      </w:r>
    </w:p>
    <w:p w:rsidR="006425AE" w:rsidRPr="00824469" w:rsidRDefault="006425AE" w:rsidP="006425A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فراهم نمودن زمینه لازم برای تجربه</w:t>
      </w:r>
      <w:r w:rsidRPr="00824469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اندوزی و مسئولیت</w:t>
      </w:r>
      <w:r w:rsidRPr="00824469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پذیری دانشجویان برای آینده</w:t>
      </w:r>
    </w:p>
    <w:p w:rsidR="006425AE" w:rsidRPr="00824469" w:rsidRDefault="006425AE" w:rsidP="006425A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آشنایی بیشتر دانشجویان با توانمندی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ها، امکانات و چگونگی اداره امور دانشگاهها</w:t>
      </w:r>
    </w:p>
    <w:p w:rsidR="006425AE" w:rsidRPr="00824469" w:rsidRDefault="006425AE" w:rsidP="006425A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بهره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مندی مؤسسه از ظرفیت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های دانشجویی در راستای بهبود ارائه خدمات به دانشجویان</w:t>
      </w:r>
    </w:p>
    <w:p w:rsidR="006425AE" w:rsidRPr="00824469" w:rsidRDefault="006425AE" w:rsidP="006425A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افزایش آگاهی دانشجویان با حقوق و تکالیف دانشجویی</w:t>
      </w:r>
    </w:p>
    <w:p w:rsidR="006425AE" w:rsidRPr="00824469" w:rsidRDefault="006425AE" w:rsidP="006425A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تقویت فرهنگ پیگیری حل مشکلات رفاهی با تعامل و از طریق مجاری قانونی</w:t>
      </w:r>
    </w:p>
    <w:p w:rsidR="006425AE" w:rsidRDefault="006425AE" w:rsidP="006425AE">
      <w:pPr>
        <w:bidi/>
        <w:spacing w:line="360" w:lineRule="auto"/>
        <w:jc w:val="both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</w:p>
    <w:p w:rsidR="006425AE" w:rsidRPr="00824B02" w:rsidRDefault="006425AE" w:rsidP="006425AE">
      <w:pPr>
        <w:bidi/>
        <w:spacing w:line="360" w:lineRule="auto"/>
        <w:jc w:val="both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 w:rsidRPr="00824B02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>وظایف و محدوده فعالیت</w:t>
      </w:r>
    </w:p>
    <w:p w:rsidR="006425AE" w:rsidRPr="005E7C14" w:rsidRDefault="006425AE" w:rsidP="006425AE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</w:pPr>
      <w:r w:rsidRPr="005E7C14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شورا صرفا وظیفۀ انعکاس، پیگیری حل مشکلات و ارائه بهتر خدمات به دانشجویان از طریق تعامل با مسئولین دانشگاه را دارا می</w:t>
      </w:r>
      <w:r w:rsidRPr="005E7C14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softHyphen/>
        <w:t>باشد.</w:t>
      </w:r>
    </w:p>
    <w:p w:rsidR="006425AE" w:rsidRPr="00824469" w:rsidRDefault="006425AE" w:rsidP="006425AE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امور خدماتی و رفاهی از قبیل: امور فروشگاه</w:t>
      </w:r>
      <w:r w:rsidRPr="00824469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ها و دفاتر تکثیر، ایاب و ذهاب، مراکز درمانی </w:t>
      </w:r>
      <w:r w:rsidRPr="00824469"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امور ورزشی، مراکز رایانه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ای دانشجویی و  ک تابخانه</w:t>
      </w:r>
    </w:p>
    <w:p w:rsidR="006425AE" w:rsidRPr="00824469" w:rsidRDefault="006425AE" w:rsidP="006425AE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امور مربوط به کیفیت غذا و بهداشت محیط غذاخوری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های دانشجویی</w:t>
      </w:r>
    </w:p>
    <w:p w:rsidR="006425AE" w:rsidRPr="00824469" w:rsidRDefault="006425AE" w:rsidP="006425AE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t>برگزاری جلسات پرسش و پاسخ دانشجویان برای تبادل نظر با مسئولین در محدودۀ وظایف تعریف شده در آیین</w:t>
      </w:r>
      <w:r w:rsidRPr="00824469">
        <w:rPr>
          <w:rFonts w:asciiTheme="majorBidi" w:hAnsiTheme="majorBidi" w:cs="B Nazanin" w:hint="cs"/>
          <w:sz w:val="32"/>
          <w:szCs w:val="32"/>
          <w:rtl/>
          <w:lang w:bidi="fa-IR"/>
        </w:rPr>
        <w:softHyphen/>
        <w:t>نامه</w:t>
      </w:r>
    </w:p>
    <w:p w:rsidR="006425AE" w:rsidRPr="006425AE" w:rsidRDefault="006425AE" w:rsidP="00734192">
      <w:pPr>
        <w:pStyle w:val="ListParagraph"/>
        <w:numPr>
          <w:ilvl w:val="0"/>
          <w:numId w:val="2"/>
        </w:numPr>
        <w:bidi/>
        <w:spacing w:line="360" w:lineRule="auto"/>
        <w:ind w:firstLine="0"/>
        <w:jc w:val="both"/>
        <w:rPr>
          <w:rFonts w:asciiTheme="majorBidi" w:hAnsiTheme="majorBidi" w:cs="B Titr"/>
          <w:b/>
          <w:bCs/>
          <w:sz w:val="40"/>
          <w:szCs w:val="40"/>
          <w:rtl/>
          <w:lang w:bidi="fa-IR"/>
        </w:rPr>
      </w:pPr>
      <w:r w:rsidRPr="006425AE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بهداشت عمومی تجهیزات و لوازم مساجد و نمازخانه دانشگاه </w:t>
      </w:r>
      <w:r w:rsidRPr="006425AE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با هماهنگی نهادهای متولی و </w:t>
      </w:r>
      <w:bookmarkStart w:id="0" w:name="_GoBack"/>
      <w:bookmarkEnd w:id="0"/>
    </w:p>
    <w:p w:rsidR="004320EA" w:rsidRDefault="004320EA"/>
    <w:sectPr w:rsidR="004320EA" w:rsidSect="006425A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16327"/>
    <w:multiLevelType w:val="hybridMultilevel"/>
    <w:tmpl w:val="49B2C2D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795928C5"/>
    <w:multiLevelType w:val="hybridMultilevel"/>
    <w:tmpl w:val="6FDA8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AE"/>
    <w:rsid w:val="004320EA"/>
    <w:rsid w:val="0064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56A72-2C0D-47DE-9E5D-13CE106B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5AE"/>
    <w:pPr>
      <w:spacing w:after="0" w:line="240" w:lineRule="auto"/>
      <w:ind w:firstLine="357"/>
      <w:jc w:val="center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moavanat amozashi</dc:creator>
  <cp:keywords/>
  <dc:description/>
  <cp:lastModifiedBy>moavanat amozashi</cp:lastModifiedBy>
  <cp:revision>1</cp:revision>
  <dcterms:created xsi:type="dcterms:W3CDTF">2015-10-07T05:56:00Z</dcterms:created>
  <dcterms:modified xsi:type="dcterms:W3CDTF">2015-10-07T05:57:00Z</dcterms:modified>
</cp:coreProperties>
</file>